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2" w:rsidRDefault="006B33A2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5" cy="8178158"/>
            <wp:effectExtent l="19050" t="0" r="1905" b="0"/>
            <wp:docPr id="1" name="Рисунок 1" descr="C:\Users\Админ\Downloads\CCI310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CCI3103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3A2" w:rsidRDefault="006B33A2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3A2" w:rsidRDefault="006B33A2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3A2" w:rsidRDefault="006B33A2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4734" w:rsidRPr="007E4734" w:rsidRDefault="007E4734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7E4734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казенное общеобразовательное учреждение</w:t>
      </w:r>
    </w:p>
    <w:p w:rsidR="007E4734" w:rsidRPr="007E4734" w:rsidRDefault="007E4734" w:rsidP="008E62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7E4734">
        <w:rPr>
          <w:rFonts w:ascii="Times New Roman" w:hAnsi="Times New Roman"/>
          <w:sz w:val="24"/>
          <w:szCs w:val="24"/>
          <w:lang w:val="ru-RU"/>
        </w:rPr>
        <w:t xml:space="preserve">« </w:t>
      </w:r>
      <w:proofErr w:type="spellStart"/>
      <w:r w:rsidRPr="007E4734">
        <w:rPr>
          <w:rFonts w:ascii="Times New Roman" w:hAnsi="Times New Roman"/>
          <w:sz w:val="24"/>
          <w:szCs w:val="24"/>
          <w:lang w:val="ru-RU"/>
        </w:rPr>
        <w:t>Енапаевская</w:t>
      </w:r>
      <w:proofErr w:type="spellEnd"/>
      <w:r w:rsidRPr="007E4734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 »</w:t>
      </w:r>
      <w:r w:rsidRPr="007E4734">
        <w:rPr>
          <w:rFonts w:ascii="Times New Roman" w:hAnsi="Times New Roman"/>
          <w:sz w:val="24"/>
          <w:szCs w:val="24"/>
          <w:lang w:val="ru-RU"/>
        </w:rPr>
        <w:br/>
        <w:t xml:space="preserve">(МКОУ « </w:t>
      </w:r>
      <w:proofErr w:type="spellStart"/>
      <w:r w:rsidRPr="007E4734">
        <w:rPr>
          <w:rFonts w:ascii="Times New Roman" w:hAnsi="Times New Roman"/>
          <w:sz w:val="24"/>
          <w:szCs w:val="24"/>
          <w:lang w:val="ru-RU"/>
        </w:rPr>
        <w:t>Енапаевская</w:t>
      </w:r>
      <w:proofErr w:type="spellEnd"/>
      <w:r w:rsidRPr="007E4734">
        <w:rPr>
          <w:rFonts w:ascii="Times New Roman" w:hAnsi="Times New Roman"/>
          <w:sz w:val="24"/>
          <w:szCs w:val="24"/>
          <w:lang w:val="ru-RU"/>
        </w:rPr>
        <w:t xml:space="preserve"> СОШ»)</w:t>
      </w:r>
    </w:p>
    <w:p w:rsidR="007E4734" w:rsidRPr="007E4734" w:rsidRDefault="007E4734" w:rsidP="008E625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4734" w:rsidRPr="007E4734" w:rsidRDefault="007E4734" w:rsidP="007E473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598"/>
      </w:tblGrid>
      <w:tr w:rsidR="007E4734" w:rsidRPr="006B33A2" w:rsidTr="00ED7A1E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734" w:rsidRPr="007E4734" w:rsidRDefault="00ED7A1E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Согласован</w:t>
            </w:r>
          </w:p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  <w:r w:rsidR="008E6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D7A1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 2</w:t>
            </w:r>
            <w:r w:rsidR="00ED7A1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.03.2025 г. 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ED7A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С.Р.Маликов</w:t>
            </w:r>
          </w:p>
          <w:p w:rsidR="007E4734" w:rsidRPr="007E4734" w:rsidRDefault="007E4734" w:rsidP="00ED7A1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Приказ № 01-08-1</w:t>
            </w:r>
            <w:r w:rsidR="00ED7A1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от 2</w:t>
            </w:r>
            <w:r w:rsidR="00ED7A1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.03.2025 г.</w:t>
            </w:r>
          </w:p>
        </w:tc>
      </w:tr>
    </w:tbl>
    <w:p w:rsidR="007E4734" w:rsidRPr="007E4734" w:rsidRDefault="007E4734" w:rsidP="00ED7A1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3"/>
      </w:tblGrid>
      <w:tr w:rsidR="007E4734" w:rsidRPr="00ED7A1E" w:rsidTr="00ED7A1E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734" w:rsidRPr="007E4734" w:rsidRDefault="007E4734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734" w:rsidRPr="007E4734" w:rsidRDefault="007E4734" w:rsidP="007E4734">
            <w:pPr>
              <w:widowControl w:val="0"/>
              <w:autoSpaceDE w:val="0"/>
              <w:autoSpaceDN w:val="0"/>
              <w:spacing w:before="95" w:after="0"/>
              <w:rPr>
                <w:rFonts w:ascii="Times New Roman" w:hAnsi="Times New Roman"/>
                <w:sz w:val="32"/>
                <w:szCs w:val="24"/>
                <w:lang w:val="ru-RU"/>
              </w:rPr>
            </w:pPr>
          </w:p>
          <w:p w:rsidR="007E4734" w:rsidRPr="00ED7A1E" w:rsidRDefault="007E4734" w:rsidP="00ED7A1E">
            <w:pPr>
              <w:widowControl w:val="0"/>
              <w:autoSpaceDE w:val="0"/>
              <w:autoSpaceDN w:val="0"/>
              <w:spacing w:after="0"/>
              <w:ind w:left="168" w:right="286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7E4734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 xml:space="preserve">ОТЧЕТ О РЕЗУЛЬТАТАХ   </w:t>
            </w:r>
            <w:r w:rsidRPr="007E4734">
              <w:rPr>
                <w:rFonts w:ascii="Times New Roman" w:hAnsi="Times New Roman"/>
                <w:b/>
                <w:bCs/>
                <w:spacing w:val="-2"/>
                <w:sz w:val="32"/>
                <w:szCs w:val="32"/>
                <w:lang w:val="ru-RU"/>
              </w:rPr>
              <w:t>САМООБСЛЕДОВАНИЯ</w:t>
            </w:r>
          </w:p>
          <w:p w:rsidR="00ED7A1E" w:rsidRDefault="007E4734" w:rsidP="00ED7A1E">
            <w:pPr>
              <w:widowControl w:val="0"/>
              <w:autoSpaceDE w:val="0"/>
              <w:autoSpaceDN w:val="0"/>
              <w:spacing w:before="0" w:beforeAutospacing="0" w:after="0" w:afterAutospacing="0"/>
              <w:ind w:left="168" w:right="274"/>
              <w:jc w:val="center"/>
              <w:rPr>
                <w:rFonts w:ascii="Times New Roman" w:hAnsi="Times New Roman"/>
                <w:sz w:val="32"/>
                <w:lang w:val="ru-RU"/>
              </w:rPr>
            </w:pPr>
            <w:r w:rsidRPr="007E4734">
              <w:rPr>
                <w:rFonts w:ascii="Times New Roman" w:hAnsi="Times New Roman"/>
                <w:sz w:val="32"/>
                <w:lang w:val="ru-RU"/>
              </w:rPr>
              <w:t xml:space="preserve">Муниципального казенного общеобразовательного учреждения </w:t>
            </w:r>
          </w:p>
          <w:p w:rsidR="007E4734" w:rsidRPr="007E4734" w:rsidRDefault="007E4734" w:rsidP="00ED7A1E">
            <w:pPr>
              <w:widowControl w:val="0"/>
              <w:autoSpaceDE w:val="0"/>
              <w:autoSpaceDN w:val="0"/>
              <w:spacing w:before="0" w:beforeAutospacing="0" w:after="0" w:afterAutospacing="0"/>
              <w:ind w:left="168" w:right="274"/>
              <w:jc w:val="center"/>
              <w:rPr>
                <w:rFonts w:ascii="Times New Roman" w:hAnsi="Times New Roman"/>
                <w:sz w:val="32"/>
                <w:lang w:val="ru-RU"/>
              </w:rPr>
            </w:pPr>
            <w:r w:rsidRPr="007E4734">
              <w:rPr>
                <w:rFonts w:ascii="Times New Roman" w:hAnsi="Times New Roman"/>
                <w:sz w:val="32"/>
                <w:lang w:val="ru-RU"/>
              </w:rPr>
              <w:t>«</w:t>
            </w:r>
            <w:proofErr w:type="spellStart"/>
            <w:r w:rsidRPr="007E4734">
              <w:rPr>
                <w:rFonts w:ascii="Times New Roman" w:hAnsi="Times New Roman"/>
                <w:sz w:val="32"/>
                <w:lang w:val="ru-RU"/>
              </w:rPr>
              <w:t>Енапаевская</w:t>
            </w:r>
            <w:proofErr w:type="spellEnd"/>
            <w:r w:rsidRPr="007E4734">
              <w:rPr>
                <w:rFonts w:ascii="Times New Roman" w:hAnsi="Times New Roman"/>
                <w:sz w:val="32"/>
                <w:lang w:val="ru-RU"/>
              </w:rPr>
              <w:t xml:space="preserve"> средняя общеобразовательная школа»</w:t>
            </w:r>
          </w:p>
          <w:p w:rsidR="007E4734" w:rsidRPr="00ED7A1E" w:rsidRDefault="007E4734" w:rsidP="00ED7A1E">
            <w:pPr>
              <w:widowControl w:val="0"/>
              <w:autoSpaceDE w:val="0"/>
              <w:autoSpaceDN w:val="0"/>
              <w:spacing w:before="0" w:beforeAutospacing="0" w:after="0" w:afterAutospacing="0"/>
              <w:ind w:left="172" w:right="274"/>
              <w:jc w:val="center"/>
              <w:rPr>
                <w:rFonts w:ascii="Times New Roman" w:hAnsi="Times New Roman"/>
                <w:sz w:val="32"/>
                <w:lang w:val="ru-RU"/>
              </w:rPr>
            </w:pPr>
            <w:r w:rsidRPr="00ED7A1E">
              <w:rPr>
                <w:rFonts w:ascii="Times New Roman" w:hAnsi="Times New Roman"/>
                <w:sz w:val="32"/>
                <w:lang w:val="ru-RU"/>
              </w:rPr>
              <w:t xml:space="preserve">за 2024 </w:t>
            </w:r>
            <w:r w:rsidRPr="00ED7A1E">
              <w:rPr>
                <w:rFonts w:ascii="Times New Roman" w:hAnsi="Times New Roman"/>
                <w:spacing w:val="-5"/>
                <w:sz w:val="32"/>
                <w:lang w:val="ru-RU"/>
              </w:rPr>
              <w:t>год</w:t>
            </w:r>
          </w:p>
          <w:p w:rsidR="007E4734" w:rsidRPr="00ED7A1E" w:rsidRDefault="007E4734" w:rsidP="00ED7A1E">
            <w:pPr>
              <w:shd w:val="clear" w:color="auto" w:fill="FFFFFF" w:themeFill="background1"/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ED7A1E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Дошкольное образование</w:t>
            </w:r>
          </w:p>
          <w:p w:rsidR="007E4734" w:rsidRPr="00ED7A1E" w:rsidRDefault="007E4734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734" w:rsidRDefault="007E4734" w:rsidP="00837E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7A1E" w:rsidRDefault="00ED7A1E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7A1E" w:rsidRDefault="00ED7A1E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7A1E" w:rsidRDefault="00ED7A1E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7A1E" w:rsidRDefault="00ED7A1E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7A1E" w:rsidRPr="00ED7A1E" w:rsidRDefault="00ED7A1E" w:rsidP="00ED7A1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734" w:rsidRPr="00ED7A1E" w:rsidRDefault="007E4734" w:rsidP="007E4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1941" w:rsidRDefault="004F1941" w:rsidP="004F194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Енапаево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2024</w:t>
      </w:r>
    </w:p>
    <w:p w:rsidR="00ED7A1E" w:rsidRPr="004F1941" w:rsidRDefault="00ED7A1E" w:rsidP="00ED7A1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B7F91" w:rsidRPr="004F1941" w:rsidRDefault="007E4734" w:rsidP="004F194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F194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Общие сведения об</w:t>
      </w:r>
      <w:r w:rsidRPr="004F1941">
        <w:rPr>
          <w:b/>
          <w:bCs/>
          <w:color w:val="252525"/>
          <w:spacing w:val="-2"/>
          <w:sz w:val="28"/>
          <w:szCs w:val="28"/>
        </w:rPr>
        <w:t> </w:t>
      </w:r>
      <w:r w:rsidRPr="004F1941">
        <w:rPr>
          <w:b/>
          <w:bCs/>
          <w:color w:val="252525"/>
          <w:spacing w:val="-2"/>
          <w:sz w:val="28"/>
          <w:szCs w:val="28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3"/>
        <w:gridCol w:w="6384"/>
      </w:tblGrid>
      <w:tr w:rsidR="007E4734" w:rsidRPr="006B3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7E473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Енапаевская</w:t>
            </w:r>
            <w:proofErr w:type="spellEnd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(МКОУ « </w:t>
            </w:r>
            <w:proofErr w:type="spellStart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Енапаевская</w:t>
            </w:r>
            <w:proofErr w:type="spellEnd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СОШ»)</w:t>
            </w:r>
          </w:p>
        </w:tc>
      </w:tr>
      <w:tr w:rsid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Маликов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Салават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Руфхатович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E4734" w:rsidRP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617874   Пермский край, Октябрьский район, село </w:t>
            </w:r>
            <w:proofErr w:type="spellStart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Енапаево</w:t>
            </w:r>
            <w:proofErr w:type="spellEnd"/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356BC4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356BC4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</w:tr>
      <w:tr w:rsid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8(34266) 3 56 41</w:t>
            </w:r>
            <w:r w:rsidRPr="00356BC4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356BC4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8(34266) 3 56 41</w:t>
            </w:r>
          </w:p>
        </w:tc>
      </w:tr>
      <w:tr w:rsid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4B1F79" w:rsidP="004F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E4734" w:rsidRPr="00356BC4">
                <w:rPr>
                  <w:rFonts w:ascii="Times New Roman" w:hAnsi="Times New Roman"/>
                  <w:b/>
                  <w:bCs/>
                  <w:iCs/>
                  <w:sz w:val="24"/>
                  <w:szCs w:val="24"/>
                  <w:u w:val="single"/>
                  <w:lang w:val="de-DE"/>
                </w:rPr>
                <w:t>enapaevo-edu@mail.ru</w:t>
              </w:r>
            </w:hyperlink>
          </w:p>
        </w:tc>
      </w:tr>
      <w:tr w:rsidR="007E4734" w:rsidRPr="006B3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7E473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734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Октябрьского муниципального округа Пермского края</w:t>
            </w:r>
          </w:p>
        </w:tc>
      </w:tr>
      <w:tr w:rsidR="007E4734" w:rsidRP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sz w:val="24"/>
                <w:szCs w:val="24"/>
              </w:rPr>
              <w:t xml:space="preserve">1983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E4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sz w:val="24"/>
                <w:szCs w:val="24"/>
              </w:rPr>
              <w:t xml:space="preserve">59Л01 № 0004699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spell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№ 6733 </w:t>
            </w:r>
          </w:p>
          <w:p w:rsidR="007E4734" w:rsidRPr="00356BC4" w:rsidRDefault="007E4734" w:rsidP="007E47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6BC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56BC4">
              <w:rPr>
                <w:rFonts w:ascii="Times New Roman" w:hAnsi="Times New Roman"/>
                <w:sz w:val="24"/>
                <w:szCs w:val="24"/>
              </w:rPr>
              <w:t xml:space="preserve"> 12 .03. 2020 </w:t>
            </w:r>
            <w:proofErr w:type="spellStart"/>
            <w:r w:rsidRPr="00356BC4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7E4734" w:rsidRPr="008E6251" w:rsidRDefault="007E4734" w:rsidP="00AB4F3A">
      <w:pPr>
        <w:spacing w:before="0" w:beforeAutospacing="0" w:after="0" w:afterAutospacing="0" w:line="276" w:lineRule="auto"/>
        <w:jc w:val="both"/>
        <w:rPr>
          <w:rStyle w:val="fill"/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sz w:val="24"/>
          <w:szCs w:val="24"/>
          <w:lang w:val="ru-RU"/>
        </w:rPr>
        <w:t xml:space="preserve">    Структурные подразделения « </w:t>
      </w:r>
      <w:proofErr w:type="spellStart"/>
      <w:r w:rsidRPr="008E6251">
        <w:rPr>
          <w:rFonts w:ascii="Times New Roman" w:hAnsi="Times New Roman" w:cs="Times New Roman"/>
          <w:sz w:val="24"/>
          <w:szCs w:val="24"/>
          <w:lang w:val="ru-RU"/>
        </w:rPr>
        <w:t>Атнягузинский</w:t>
      </w:r>
      <w:proofErr w:type="spellEnd"/>
      <w:r w:rsidRPr="008E6251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сад»</w:t>
      </w:r>
      <w:proofErr w:type="gramStart"/>
      <w:r w:rsidRPr="008E625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E62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proofErr w:type="gramEnd"/>
      <w:r w:rsidRPr="008E62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Енапаевский</w:t>
      </w:r>
      <w:proofErr w:type="spellEnd"/>
      <w:r w:rsidRPr="008E62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детский сад », « </w:t>
      </w:r>
      <w:proofErr w:type="spellStart"/>
      <w:r w:rsidRPr="008E62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Колтаевский</w:t>
      </w:r>
      <w:proofErr w:type="spellEnd"/>
      <w:r w:rsidRPr="008E625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детский сад» (Детский сад)</w:t>
      </w:r>
      <w:r w:rsidRPr="008E6251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расположены</w:t>
      </w:r>
      <w:r w:rsidRPr="008E6251">
        <w:rPr>
          <w:rFonts w:ascii="Times New Roman" w:hAnsi="Times New Roman" w:cs="Times New Roman"/>
          <w:sz w:val="24"/>
          <w:szCs w:val="24"/>
        </w:rPr>
        <w:t> </w:t>
      </w:r>
      <w:r w:rsidRPr="008E6251">
        <w:rPr>
          <w:rFonts w:ascii="Times New Roman" w:hAnsi="Times New Roman" w:cs="Times New Roman"/>
          <w:sz w:val="24"/>
          <w:szCs w:val="24"/>
          <w:lang w:val="ru-RU"/>
        </w:rPr>
        <w:t>в Октябрьском  городском округе Пермского края.</w:t>
      </w:r>
      <w:r w:rsidRPr="008E6251">
        <w:rPr>
          <w:rFonts w:ascii="Times New Roman" w:hAnsi="Times New Roman" w:cs="Times New Roman"/>
          <w:sz w:val="24"/>
          <w:szCs w:val="24"/>
        </w:rPr>
        <w:t> </w:t>
      </w:r>
      <w:r w:rsidRPr="008E62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Муниципальное 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казен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ное 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 «</w:t>
      </w:r>
      <w:bookmarkStart w:id="0" w:name="_Hlk192078206"/>
      <w:proofErr w:type="spellStart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Енапаевская</w:t>
      </w:r>
      <w:proofErr w:type="spellEnd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bookmarkEnd w:id="0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напаевская</w:t>
      </w:r>
      <w:proofErr w:type="spellEnd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 расположено 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центральной улице села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Здание 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1983 году</w:t>
      </w:r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переоборудовано 1996 году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Проектная наполняемость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стр</w:t>
      </w:r>
      <w:proofErr w:type="gramEnd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уктурном подразделении «</w:t>
      </w:r>
      <w:proofErr w:type="spellStart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Енапаевсксй</w:t>
      </w:r>
      <w:proofErr w:type="spellEnd"/>
      <w:r w:rsidR="00D7179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Общая площадь </w:t>
      </w:r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занимаемого 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 –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76FF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297,5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м, </w:t>
      </w:r>
      <w:bookmarkStart w:id="1" w:name="_Hlk192839429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</w:t>
      </w:r>
      <w:bookmarkStart w:id="2" w:name="_Hlk192496446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помещений, используемых непосредственно для нужд образовательного процесса</w:t>
      </w:r>
      <w:bookmarkEnd w:id="2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bookmarkEnd w:id="1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251,80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="002B4779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Здание структурного подразделения «</w:t>
      </w:r>
      <w:proofErr w:type="spellStart"/>
      <w:r w:rsidR="002B4779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Атнягузинский</w:t>
      </w:r>
      <w:proofErr w:type="spellEnd"/>
      <w:r w:rsidR="002B4779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сад» построено 1976, переоборудовано</w:t>
      </w:r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1984</w:t>
      </w:r>
      <w:r w:rsidR="008E625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году. Число мест 16, общая площадь 249</w:t>
      </w:r>
      <w:r w:rsidR="008E625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</w:t>
      </w:r>
      <w:proofErr w:type="gramStart"/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12621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площадь помещений, используемых непосредственно для нужд образовательного процесса 62,5</w:t>
      </w:r>
      <w:r w:rsidR="00855EDF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.Структурное подразделение «</w:t>
      </w:r>
      <w:proofErr w:type="spellStart"/>
      <w:r w:rsidR="00855EDF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Калтаевский</w:t>
      </w:r>
      <w:proofErr w:type="spellEnd"/>
      <w:r w:rsidR="00855EDF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="00C51408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построен 1988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1408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число мест 20, общая площадь 185,6 кв.м., из</w:t>
      </w:r>
      <w:r w:rsidR="00C51408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1408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41.8 кв.м.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Цель деятельности Детского сада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Режим работы Детского сада: рабочая неделя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пятидневная,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0,5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 0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до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4F194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дополнительно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рассмотрена и согласована на заседании педагогического совета от 27.08.2024 № 1. ОП ДО была разработана рабочей группой из числа педагогических работников на основании ФГОС 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в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ДО. В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игрушек. В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941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 осуществля</w:t>
      </w:r>
      <w:r w:rsidR="00F92D8F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ТНР (ОНР)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  <w:r w:rsidR="003346D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2023-2024 учебном году детей с ОВЗ, ЗПР не было.</w:t>
      </w:r>
    </w:p>
    <w:p w:rsidR="002B7F91" w:rsidRPr="008E6251" w:rsidRDefault="004F1941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</w:t>
      </w:r>
      <w:r w:rsidR="003346D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3346D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функционируют </w:t>
      </w:r>
      <w:r w:rsidR="003346D3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групп. Из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9"/>
        <w:gridCol w:w="2110"/>
        <w:gridCol w:w="2301"/>
        <w:gridCol w:w="2247"/>
      </w:tblGrid>
      <w:tr w:rsidR="002B7F91" w:rsidRPr="008E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2B7F91" w:rsidRPr="008E62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346D3" w:rsidRPr="008E62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AD7D96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346D3" w:rsidRPr="008E62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AD7D96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AD7D96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EF4AC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3346D3" w:rsidRPr="008E625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3346D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AD7D96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6D3" w:rsidRPr="008E6251" w:rsidRDefault="00C51408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</w:tbl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цели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ценностей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межэтнического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информационной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AB4F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экологической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8E6251" w:rsidRDefault="007E4734" w:rsidP="008E6251">
      <w:pPr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7F91" w:rsidRPr="008E6251" w:rsidRDefault="007E4734" w:rsidP="008E625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2B7F91" w:rsidRPr="008E6251" w:rsidRDefault="007E4734" w:rsidP="008E625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проводился анализ состава семей воспитанников.</w:t>
      </w:r>
    </w:p>
    <w:p w:rsidR="002B7F91" w:rsidRPr="008E6251" w:rsidRDefault="007E4734" w:rsidP="008E625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9"/>
        <w:gridCol w:w="2341"/>
        <w:gridCol w:w="4027"/>
      </w:tblGrid>
      <w:tr w:rsidR="002B7F91" w:rsidRPr="006B33A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B7F91" w:rsidRPr="008E6251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1408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6C4250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87.5%</w:t>
            </w:r>
          </w:p>
        </w:tc>
      </w:tr>
      <w:tr w:rsidR="002B7F91" w:rsidRPr="008E6251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1408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6C4250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11%</w:t>
            </w:r>
          </w:p>
        </w:tc>
      </w:tr>
      <w:tr w:rsidR="002B7F91" w:rsidRPr="008E6251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2B7F91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2B7F91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1" w:rsidRPr="008E6251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1408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6C4250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1.5%</w:t>
            </w:r>
          </w:p>
        </w:tc>
      </w:tr>
    </w:tbl>
    <w:p w:rsidR="002B7F91" w:rsidRPr="008E6251" w:rsidRDefault="007E4734" w:rsidP="008E625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количеству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2B7F91" w:rsidRPr="006B3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B7F91" w:rsidRPr="008E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6C4250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30B2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11,36%</w:t>
            </w:r>
          </w:p>
        </w:tc>
      </w:tr>
      <w:tr w:rsidR="002B7F91" w:rsidRPr="008E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BB531B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C4250"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30B2" w:rsidP="008E625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38,64%</w:t>
            </w:r>
          </w:p>
        </w:tc>
      </w:tr>
      <w:tr w:rsidR="002B7F91" w:rsidRPr="008E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7E4734" w:rsidP="008E625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E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6C4250" w:rsidP="008E625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92D8F"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8E6251" w:rsidRDefault="00C530B2" w:rsidP="008E625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</w:tbl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имеется. Реализуются приоритетные 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направления работы. Образовательная деятельность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83926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E6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4"/>
        <w:gridCol w:w="6933"/>
      </w:tblGrid>
      <w:tr w:rsidR="00A31E8F" w:rsidRPr="008E6251" w:rsidTr="00421C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8F" w:rsidRPr="00356BC4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356B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8F" w:rsidRPr="00356BC4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A31E8F" w:rsidRPr="006B3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356BC4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A31E8F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31E8F" w:rsidRPr="008E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356BC4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Педагогический</w:t>
            </w:r>
            <w:proofErr w:type="spellEnd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A31E8F" w:rsidRDefault="00A31E8F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31E8F" w:rsidRPr="00356BC4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развития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услуг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31E8F" w:rsidRPr="00356BC4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регламентации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отношений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31E8F" w:rsidRPr="00356BC4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разработки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образовательных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программ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31E8F" w:rsidRPr="00A31E8F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-выбора учебников, учебных пособий, средств обучения и воспитания;</w:t>
            </w:r>
          </w:p>
          <w:p w:rsidR="00A31E8F" w:rsidRPr="00A31E8F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-материально-технического обеспечения образовательного процесса;</w:t>
            </w:r>
          </w:p>
          <w:p w:rsidR="00A31E8F" w:rsidRPr="00A31E8F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-аттестации, повышения квалификации педагогических работников;</w:t>
            </w:r>
          </w:p>
          <w:p w:rsidR="00A31E8F" w:rsidRPr="00356BC4" w:rsidRDefault="00A31E8F" w:rsidP="00AB4F3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координации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методических</w:t>
            </w:r>
            <w:proofErr w:type="spellEnd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iCs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31E8F" w:rsidRPr="006B33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356BC4" w:rsidRDefault="00A31E8F" w:rsidP="00AB4F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Общее</w:t>
            </w:r>
            <w:proofErr w:type="spellEnd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собрание</w:t>
            </w:r>
            <w:proofErr w:type="spellEnd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6B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E8F" w:rsidRPr="00A31E8F" w:rsidRDefault="00A31E8F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31E8F" w:rsidRPr="00A31E8F" w:rsidRDefault="00A31E8F" w:rsidP="00AB4F3A">
            <w:pPr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31E8F" w:rsidRPr="00A31E8F" w:rsidRDefault="00A31E8F" w:rsidP="00AB4F3A">
            <w:pPr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31E8F" w:rsidRPr="00A31E8F" w:rsidRDefault="00A31E8F" w:rsidP="00AB4F3A">
            <w:pPr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A31E8F" w:rsidRPr="00A31E8F" w:rsidRDefault="00A31E8F" w:rsidP="00AB4F3A">
            <w:pPr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E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B7F91" w:rsidRPr="008E6251" w:rsidRDefault="00A31E8F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2B7F91" w:rsidRPr="008E6251" w:rsidRDefault="00A31E8F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</w:rPr>
        <w:t> c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</w:t>
      </w:r>
      <w:proofErr w:type="spellStart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мультимедийного</w:t>
      </w:r>
      <w:proofErr w:type="spellEnd"/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интерактивного оборудования, где родители являются не пассивными слушателями, а активными участниками разговора.</w:t>
      </w:r>
    </w:p>
    <w:p w:rsidR="002B7F91" w:rsidRPr="008E6251" w:rsidRDefault="00A31E8F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2B7F91" w:rsidRPr="008E6251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E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ведет государственные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паблики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виджетами</w:t>
      </w:r>
      <w:proofErr w:type="spellEnd"/>
      <w:r w:rsidRPr="008E62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«Сообщить о проблеме» или «Высказать мнение».</w:t>
      </w:r>
    </w:p>
    <w:p w:rsidR="002B7F91" w:rsidRPr="008A3BA3" w:rsidRDefault="00A31E8F" w:rsidP="00AB4F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2B7F91" w:rsidRPr="008A3BA3" w:rsidRDefault="00A31E8F" w:rsidP="00AB4F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Вывод: М</w:t>
      </w:r>
      <w:r w:rsidR="00D02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23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2306">
        <w:rPr>
          <w:rFonts w:hAnsi="Times New Roman" w:cs="Times New Roman"/>
          <w:color w:val="000000"/>
          <w:sz w:val="24"/>
          <w:szCs w:val="24"/>
          <w:lang w:val="ru-RU"/>
        </w:rPr>
        <w:t>Енапаевская</w:t>
      </w:r>
      <w:proofErr w:type="spellEnd"/>
      <w:r w:rsidR="00D023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B7F91" w:rsidRPr="008A3BA3" w:rsidRDefault="007E4734" w:rsidP="00AB4F3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A3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3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B7F91" w:rsidRPr="00AB4F3A" w:rsidRDefault="00AB4F3A" w:rsidP="00AB4F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="007E4734" w:rsidRPr="00AB4F3A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023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E4734" w:rsidRPr="00AB4F3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0230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02306">
        <w:rPr>
          <w:rFonts w:hAnsi="Times New Roman" w:cs="Times New Roman"/>
          <w:color w:val="000000"/>
          <w:sz w:val="24"/>
          <w:szCs w:val="24"/>
          <w:lang w:val="ru-RU"/>
        </w:rPr>
        <w:t>Енапаевская</w:t>
      </w:r>
      <w:proofErr w:type="spellEnd"/>
      <w:r w:rsidR="00D023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E4734" w:rsidRPr="00AB4F3A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2B7F91" w:rsidRDefault="007E4734" w:rsidP="00AB4F3A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7F91" w:rsidRPr="008A3BA3" w:rsidRDefault="007E4734" w:rsidP="00AB4F3A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B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BA3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D02306" w:rsidRPr="00AB4F3A" w:rsidRDefault="007E4734" w:rsidP="00AB4F3A">
      <w:pPr>
        <w:numPr>
          <w:ilvl w:val="0"/>
          <w:numId w:val="5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7F91" w:rsidRPr="008A3BA3" w:rsidRDefault="00AB4F3A" w:rsidP="00AB4F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2B7F91" w:rsidRPr="008A3BA3" w:rsidRDefault="00AB4F3A" w:rsidP="00AB4F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>
        <w:rPr>
          <w:rFonts w:hAnsi="Times New Roman" w:cs="Times New Roman"/>
          <w:color w:val="000000"/>
          <w:sz w:val="24"/>
          <w:szCs w:val="24"/>
        </w:rPr>
        <w:t> </w:t>
      </w:r>
      <w:r w:rsidR="007E4734" w:rsidRPr="008A3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2B7F91" w:rsidRDefault="007E4734" w:rsidP="00AB4F3A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B7F91" w:rsidRDefault="007E4734" w:rsidP="00AB4F3A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B7F91" w:rsidRDefault="007E4734" w:rsidP="00AB4F3A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B7F91" w:rsidRDefault="007E4734" w:rsidP="00AB4F3A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B7F91" w:rsidRDefault="007E4734" w:rsidP="00AB4F3A">
      <w:pPr>
        <w:numPr>
          <w:ilvl w:val="0"/>
          <w:numId w:val="6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2B7F91" w:rsidRPr="00AB4F3A" w:rsidRDefault="00AB4F3A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  <w:r w:rsidR="007E4734" w:rsidRPr="00AB4F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Диагностическая работа по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этапа: сентябрь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первичная диагностика, декабрь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промежуточная диагностика, май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 2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449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7"/>
        <w:gridCol w:w="758"/>
        <w:gridCol w:w="561"/>
        <w:gridCol w:w="832"/>
        <w:gridCol w:w="1543"/>
        <w:gridCol w:w="832"/>
        <w:gridCol w:w="799"/>
        <w:gridCol w:w="637"/>
      </w:tblGrid>
      <w:tr w:rsidR="006B5DAE" w:rsidRPr="00AB4F3A" w:rsidTr="006B5DAE"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</w:tr>
      <w:tr w:rsidR="006B5DAE" w:rsidRPr="00AB4F3A" w:rsidTr="006B5DAE"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</w:tr>
      <w:tr w:rsidR="006B5DAE" w:rsidRPr="00AB4F3A" w:rsidTr="006B5DAE"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развития воспитанников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58.82%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41,18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B5DAE" w:rsidRPr="00AB4F3A" w:rsidTr="006B5DAE"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58.82%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41,18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DAE" w:rsidRPr="00AB4F3A" w:rsidRDefault="006B5DA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2B7F91" w:rsidRPr="00AB4F3A" w:rsidRDefault="00AB4F3A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режимные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моменты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игровая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подгрупповая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2B7F91" w:rsidRPr="00AB4F3A" w:rsidRDefault="007E4734" w:rsidP="00AB4F3A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тематические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досуги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7E4734" w:rsidP="00AB4F3A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выставки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2306" w:rsidRPr="00AB4F3A" w:rsidRDefault="007E4734" w:rsidP="00AB4F3A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AB4F3A" w:rsidRDefault="00AB4F3A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</w:t>
      </w:r>
    </w:p>
    <w:p w:rsidR="002B7F91" w:rsidRPr="00AB4F3A" w:rsidRDefault="00AB4F3A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</w:t>
      </w:r>
      <w:r w:rsidR="00D02306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02306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02306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Енапаевская</w:t>
      </w:r>
      <w:proofErr w:type="spellEnd"/>
      <w:r w:rsidR="00D02306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образования.</w:t>
      </w:r>
      <w:proofErr w:type="gramEnd"/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2B7F91" w:rsidRPr="00AB4F3A" w:rsidRDefault="007E4734" w:rsidP="00AB4F3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AB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AB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4F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 году</w:t>
      </w:r>
    </w:p>
    <w:tbl>
      <w:tblPr>
        <w:tblW w:w="536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2"/>
        <w:gridCol w:w="1827"/>
        <w:gridCol w:w="1348"/>
        <w:gridCol w:w="1601"/>
        <w:gridCol w:w="1432"/>
        <w:gridCol w:w="1620"/>
      </w:tblGrid>
      <w:tr w:rsidR="00341B3E" w:rsidRPr="00AB4F3A" w:rsidTr="00533B7B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8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Структурное подразделение</w:t>
            </w:r>
          </w:p>
        </w:tc>
      </w:tr>
      <w:tr w:rsidR="00341B3E" w:rsidRPr="00AB4F3A" w:rsidTr="00533B7B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творческий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«Зимние птицы» </w:t>
            </w:r>
          </w:p>
        </w:tc>
        <w:tc>
          <w:tcPr>
            <w:tcW w:w="1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</w:t>
            </w:r>
          </w:p>
        </w:tc>
        <w:tc>
          <w:tcPr>
            <w:tcW w:w="1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2024</w:t>
            </w:r>
          </w:p>
        </w:tc>
        <w:tc>
          <w:tcPr>
            <w:tcW w:w="1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Минниханов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Ян</w:t>
            </w:r>
          </w:p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Сагитов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Ильдар</w:t>
            </w:r>
          </w:p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Абзалова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Радмила</w:t>
            </w:r>
            <w:proofErr w:type="spellEnd"/>
          </w:p>
          <w:p w:rsidR="00CB607E" w:rsidRPr="00AB4F3A" w:rsidRDefault="00CB607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Юлиана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07E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 участника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B607E" w:rsidRPr="00AB4F3A" w:rsidRDefault="00341B3E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rPr>
          <w:trHeight w:val="110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Познавательная 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онлайн-викторина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художник»</w:t>
            </w:r>
          </w:p>
        </w:tc>
        <w:tc>
          <w:tcPr>
            <w:tcW w:w="1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Балеевских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Тимур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Минниханов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Ян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rPr>
          <w:trHeight w:val="1520"/>
        </w:trPr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онлайн-викторина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«Космос вокруг»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Сагитов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Ильдар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Суфиянов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Аяз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конкурс «Мои домашние животные»</w:t>
            </w:r>
          </w:p>
        </w:tc>
        <w:tc>
          <w:tcPr>
            <w:tcW w:w="1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Суфиянов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Аяз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«Дошколенок»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творческий конкурс «Мамино сердце»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Минниханов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Ян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Хаюмова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Амина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Юлиана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Айлина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Мухаматов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Эльмир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Абзалова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Радмила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Онлайн-викторина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«Дорога безопасности»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«Я и моя семья»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«Вместе с папой мастерим»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Надршин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Лениза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«Эти славные ежи»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Арина</w:t>
            </w:r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 Розалина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«Кыш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бабайга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кучтэнэч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Бархатдинова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Аделя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Суфиянов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Аяз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84A83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«Страна талантов»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Лениза</w:t>
            </w:r>
            <w:proofErr w:type="spellEnd"/>
          </w:p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Юлиана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84A83" w:rsidRPr="00AB4F3A" w:rsidRDefault="00384A83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35487D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творческий конкурс «Герои сказок»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5487D" w:rsidRPr="00AB4F3A" w:rsidRDefault="0035487D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творческий </w:t>
            </w:r>
            <w:proofErr w:type="gram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proofErr w:type="gram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посвященный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Синичкиному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дню «Кормушка для пернатых»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«Флора декор»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 Розалина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Лениза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«Мужество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остается в веках»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 Розалина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«Мир животных»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«Правила дорожного движения»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«Хранители наследия»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краевой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Гаптулхаев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Надршин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Арсен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Лениза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«Грачи прилетели»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Гафуева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Елизавета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Рахимова Розалина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«Народов много – страна одна»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Джалиловские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 днем защитника Отечества» 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«Кормушка для пернатых»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 «Явления природы»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Лениза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«В этот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Победы»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Лениза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«Мой любимый снеговик»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Аделина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Зиннатова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Аделия</w:t>
            </w:r>
            <w:proofErr w:type="spellEnd"/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  <w:tr w:rsidR="001F5631" w:rsidRPr="00AB4F3A" w:rsidTr="00533B7B">
        <w:tc>
          <w:tcPr>
            <w:tcW w:w="189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рисунков нетрадиционных </w:t>
            </w:r>
            <w:proofErr w:type="gram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proofErr w:type="gram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рисования «Весенняя фантазия»</w:t>
            </w:r>
          </w:p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4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Абзалова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Радмила</w:t>
            </w:r>
            <w:proofErr w:type="spellEnd"/>
          </w:p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Юлиана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1F5631" w:rsidRPr="00AB4F3A" w:rsidRDefault="001F5631" w:rsidP="00AB4F3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Енапаевский</w:t>
            </w:r>
            <w:proofErr w:type="spellEnd"/>
            <w:r w:rsidRPr="00AB4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</w:tc>
      </w:tr>
    </w:tbl>
    <w:p w:rsidR="00556540" w:rsidRPr="00AB4F3A" w:rsidRDefault="00533B7B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56540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2024 году структурное подразделение «</w:t>
      </w:r>
      <w:proofErr w:type="spellStart"/>
      <w:r w:rsidR="00556540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Атнягузинский</w:t>
      </w:r>
      <w:proofErr w:type="spellEnd"/>
      <w:r w:rsidR="00556540"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сад» приняли участие в следующих конкурсах: 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-Муниципальный конкурс рисунков по безопасности дорожного движения «Дорога и мы»;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-Муниципальный конкурс «Зеленая планета»;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AB4F3A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окружной </w:t>
      </w:r>
      <w:proofErr w:type="spellStart"/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«Гостинцы Деду Морозу»;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-Конкурс новогодних игрушек «Мастерская Деда Мороза»;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-Конкурс-выставка «Осенняя фантазия»;</w:t>
      </w:r>
    </w:p>
    <w:p w:rsidR="00556540" w:rsidRPr="00AB4F3A" w:rsidRDefault="00556540" w:rsidP="00533B7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4F3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-Конкурс «Флора-декор»</w:t>
      </w:r>
    </w:p>
    <w:p w:rsidR="002B7F91" w:rsidRPr="00334197" w:rsidRDefault="00533B7B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ДО,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2B7F91" w:rsidRPr="00334197" w:rsidRDefault="00533B7B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2B7F91" w:rsidRPr="00334197" w:rsidRDefault="007E4734" w:rsidP="00334197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2B7F91" w:rsidRPr="00334197" w:rsidRDefault="007E4734" w:rsidP="00334197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2B7F91" w:rsidRPr="00334197" w:rsidRDefault="007E4734" w:rsidP="00334197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334197" w:rsidRDefault="007E4734" w:rsidP="00334197">
      <w:pPr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детей по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334197" w:rsidRDefault="00533B7B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личностных качеств, обеспечивающих социальную успешность,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детьми:</w:t>
      </w:r>
    </w:p>
    <w:p w:rsidR="002B7F91" w:rsidRPr="00334197" w:rsidRDefault="007E4734" w:rsidP="00334197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2B7F91" w:rsidRPr="00334197" w:rsidRDefault="007E4734" w:rsidP="00334197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2B7F91" w:rsidRPr="00334197" w:rsidRDefault="007E4734" w:rsidP="00334197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2B7F91" w:rsidRPr="00334197" w:rsidRDefault="007E4734" w:rsidP="00334197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2B7F91" w:rsidRPr="00334197" w:rsidRDefault="007E4734" w:rsidP="00334197">
      <w:pPr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запросу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были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7F91" w:rsidRPr="00334197" w:rsidRDefault="001C13D8" w:rsidP="00334197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2B7F91" w:rsidRPr="00334197" w:rsidRDefault="001C13D8" w:rsidP="00334197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2B7F91" w:rsidRPr="00334197" w:rsidRDefault="001C13D8" w:rsidP="00334197">
      <w:pPr>
        <w:numPr>
          <w:ilvl w:val="0"/>
          <w:numId w:val="1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консультации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334197" w:rsidRDefault="001C13D8" w:rsidP="00334197">
      <w:pPr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тренингов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7E4734" w:rsidRPr="00334197">
        <w:rPr>
          <w:rFonts w:ascii="Times New Roman" w:hAnsi="Times New Roman" w:cs="Times New Roman"/>
          <w:sz w:val="24"/>
          <w:szCs w:val="24"/>
          <w:lang w:val="ru-RU"/>
        </w:rPr>
        <w:br/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их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благополучия. Оздоровительный проце</w:t>
      </w:r>
      <w:proofErr w:type="gram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ючает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себя: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профилактические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оздоровительные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двигательную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2B7F91" w:rsidRPr="00334197" w:rsidRDefault="007E4734" w:rsidP="00334197">
      <w:pPr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проветривания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кварцевания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первой 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группой здоровья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(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со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2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третьей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четвертой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60CB6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81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«Отдыхаем в лесу»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т. д. Также в рамках тематической недели «Детям о безопасности» был организован смотр-конкурс плакатов «Осторожно, опасность», где дошкольники совместно с родителями защищали работы в форме проектов.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</w:t>
      </w:r>
      <w:proofErr w:type="spell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мероприятия: «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богатыри», «Кубок Победы» – 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proofErr w:type="gram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575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родительские собрания на тему: «Роль семьи в историческом просвещении детей». 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педагогическими работниками также проводилась плодотворная работа. В сентябре совместно с педагогическими работниками ДОО были разработаны методики формирования исторических знаний у дошкольников. В течение года методика проходила апробацию в детских садах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Еще согласно плану мероприятий организовывались тематические семинары, тренинги. 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участников СВО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 учетом рекомендаций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годового плана работы ДОО педагог-психолог оказывал адресную помощь воспитаннику старшей группы, </w:t>
      </w:r>
      <w:r w:rsidR="00C8002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отец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которого явля</w:t>
      </w:r>
      <w:r w:rsidR="00C8002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участник</w:t>
      </w:r>
      <w:r w:rsidR="00C8002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организовать психологическую помощь дошкольнику, специалист провел диагностику его эмоционального состояния. Результаты диагностики показали, что ребенок переживает эмоциональные скачки. На основании результатов диагностики специали</w:t>
      </w:r>
      <w:proofErr w:type="gram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спл</w:t>
      </w:r>
      <w:proofErr w:type="gram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анировал и организовал цикл коррекционных занятий. Цель занятий – уменьшить негативный эмоциональный фон. Посещенное в рамках контроля занятие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показало, что в работе с дошкольником специалист использует психологические техники и методы, которые помогают ребенку снять напряжение и осознать свои чувства. Среди таких техник: «Я – дерево», «Грустное деревце», «Рисуем ладошки», «Лепка», «Сейф для страхов», «Ловец снов». 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значениях. 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Например, очные выставки фотографий «Моя семья, мое богатство». Чтобы повысить общественный престиж и статус семьи, был организован конкурс чтецов среди воспитанников Детского сада «Моя семья». 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года был реализован совместный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:rsidR="002B7F91" w:rsidRPr="00334197" w:rsidRDefault="00334197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и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2B7F91" w:rsidRPr="00334197" w:rsidRDefault="00B4440D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4378C9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8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2B7F91" w:rsidRPr="00334197" w:rsidRDefault="007E4734" w:rsidP="00334197">
      <w:pPr>
        <w:numPr>
          <w:ilvl w:val="0"/>
          <w:numId w:val="1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 – 8/1;</w:t>
      </w:r>
    </w:p>
    <w:p w:rsidR="002B7F91" w:rsidRPr="00334197" w:rsidRDefault="007E4734" w:rsidP="00334197">
      <w:pPr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4197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334197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="001016E1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3,3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 педагогические работники прошли аттестацию </w:t>
      </w:r>
      <w:r w:rsidR="00734F5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получили</w:t>
      </w:r>
      <w:r w:rsidR="00734F5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соответствие занимаемой должности.</w:t>
      </w:r>
    </w:p>
    <w:p w:rsidR="002B7F91" w:rsidRPr="00334197" w:rsidRDefault="00B4440D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734F5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прошли </w:t>
      </w:r>
      <w:r w:rsidR="00734F5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Детского сада</w:t>
      </w:r>
      <w:r w:rsidR="00734F55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Распределение педагогических работников по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возрасту, человек</w:t>
      </w:r>
      <w:r w:rsidR="0006173D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6173D" w:rsidRPr="0033419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802012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F91" w:rsidRPr="00334197" w:rsidRDefault="002B7F91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7F91" w:rsidRPr="00334197" w:rsidRDefault="00B4440D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2024 года Детский сад перешел на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7E4734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2B7F91" w:rsidRPr="00334197" w:rsidRDefault="007E4734" w:rsidP="0033419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Гистограмма с</w:t>
      </w:r>
      <w:r w:rsidRPr="003341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  <w:r w:rsidR="0006173D" w:rsidRPr="0033419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стаж  работы педагогов:</w:t>
      </w:r>
      <w:r w:rsidR="0006173D" w:rsidRPr="0033419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61867669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7F91" w:rsidRPr="0006173D" w:rsidRDefault="002B7F91">
      <w:pPr>
        <w:rPr>
          <w:lang w:val="ru-RU"/>
        </w:rPr>
      </w:pPr>
    </w:p>
    <w:p w:rsidR="002B7F91" w:rsidRPr="00B67F78" w:rsidRDefault="00B4440D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2B7F91" w:rsidRPr="00B67F78" w:rsidRDefault="007E4734" w:rsidP="00B67F78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ДО: вопросы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ответы»;</w:t>
      </w:r>
    </w:p>
    <w:p w:rsidR="002B7F91" w:rsidRPr="00B67F78" w:rsidRDefault="007E4734" w:rsidP="00B67F78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подбора форм совместной</w:t>
      </w:r>
      <w:r w:rsidR="00B4440D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с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ФОП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B7F91" w:rsidRPr="00B67F78" w:rsidRDefault="007E4734" w:rsidP="00B67F78">
      <w:pPr>
        <w:numPr>
          <w:ilvl w:val="0"/>
          <w:numId w:val="1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2B7F91" w:rsidRPr="00B67F78" w:rsidRDefault="0087006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2B7F91" w:rsidRPr="00B67F78" w:rsidRDefault="0087006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3"/>
        <w:gridCol w:w="2254"/>
        <w:gridCol w:w="1384"/>
        <w:gridCol w:w="1832"/>
        <w:gridCol w:w="1524"/>
      </w:tblGrid>
      <w:tr w:rsidR="002B7F91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2B7F91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«Учитель года 2024»</w:t>
            </w:r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Гадилова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Фаттахова А.Р.</w:t>
            </w: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515503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Рождественские образовательные чтения</w:t>
            </w:r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межмуниципальный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2024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Гадилова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Л.Я.</w:t>
            </w: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503" w:rsidRPr="00B67F78" w:rsidRDefault="0051550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76184B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4B" w:rsidRPr="00B67F78" w:rsidRDefault="007618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 </w:t>
            </w:r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рактическая конференция «Роль фольклора в воспитании патриотизма»</w:t>
            </w:r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4B" w:rsidRPr="00B67F78" w:rsidRDefault="007618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межмуниципальный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4B" w:rsidRPr="00B67F78" w:rsidRDefault="007618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 2024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4B" w:rsidRPr="00B67F78" w:rsidRDefault="007618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84B" w:rsidRPr="00B67F78" w:rsidRDefault="007618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487D2B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D2B" w:rsidRPr="00B67F78" w:rsidRDefault="00487D2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Фестиваль-конкурс детского музыкального творчества «Страна талантов»</w:t>
            </w:r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D2B" w:rsidRPr="00B67F78" w:rsidRDefault="00487D2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D2B" w:rsidRPr="00B67F78" w:rsidRDefault="00487D2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03.2024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D2B" w:rsidRPr="00B67F78" w:rsidRDefault="00487D2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Л.Я</w:t>
            </w: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D2B" w:rsidRPr="00B67F78" w:rsidRDefault="00487D2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251EB1" w:rsidRPr="00B67F78" w:rsidTr="002F597C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«Педагогические культурные практики образовательной программы </w:t>
            </w: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развития финансовой грамотности детей дошкольного возраста «Открытия </w:t>
            </w:r>
            <w:proofErr w:type="spellStart"/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Феечки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Копеечки»</w:t>
            </w:r>
          </w:p>
        </w:tc>
        <w:tc>
          <w:tcPr>
            <w:tcW w:w="22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межмуниципальный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Насибуллина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Л.Я</w:t>
            </w:r>
          </w:p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Галиева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А.Х</w:t>
            </w:r>
          </w:p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Зиннатова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</w:p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Гадилова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251EB1" w:rsidRPr="00B67F78" w:rsidRDefault="00F60CB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Фаттахова А.</w:t>
            </w:r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F60CB6" w:rsidRPr="00B67F78" w:rsidRDefault="00F60CB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Исламева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B1" w:rsidRPr="00B67F78" w:rsidRDefault="00251EB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Сертификат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2B7F91" w:rsidRPr="00B67F78" w:rsidRDefault="0087006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 Педагоги зарекомендовали себя как инициативный, творческий коллектив, умеющий найти индивидуальный подход к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их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B7F91" w:rsidRPr="00B67F78" w:rsidRDefault="00A41601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A41601" w:rsidRDefault="00A41601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E4734" w:rsidRPr="00A416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2B7F91" w:rsidRPr="00B67F78" w:rsidRDefault="007E4734" w:rsidP="00B67F78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серии «Мир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о...», «Играем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2B7F91" w:rsidRPr="00B67F78" w:rsidRDefault="007E4734" w:rsidP="00B67F78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плакаты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2B7F91" w:rsidRPr="00B67F78" w:rsidRDefault="007E4734" w:rsidP="00B67F78">
      <w:pPr>
        <w:numPr>
          <w:ilvl w:val="0"/>
          <w:numId w:val="17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к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2B7F91" w:rsidRPr="00B67F78" w:rsidRDefault="007E4734" w:rsidP="00B67F78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Ориентиры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маленького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умника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Читаем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играем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общаемся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«Первые эмоции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сказках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2B7F91" w:rsidRPr="00B67F78" w:rsidRDefault="007E4734" w:rsidP="00B67F78">
      <w:pPr>
        <w:numPr>
          <w:ilvl w:val="0"/>
          <w:numId w:val="18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Бабушкины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сказки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2B7F91" w:rsidRPr="00B67F78" w:rsidRDefault="007E4734" w:rsidP="00B67F78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Читаем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вслух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фантазий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Дружная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семья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«100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зачем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7E4734" w:rsidP="00B67F78">
      <w:pPr>
        <w:numPr>
          <w:ilvl w:val="0"/>
          <w:numId w:val="19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чувств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B7F91" w:rsidRPr="00B67F78" w:rsidRDefault="00A41601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достаточно для реализации образовательных программ.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созданы условия для возможности организации совместной деятельности педагогов.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компьютер, ноутбук, принтер</w:t>
      </w:r>
      <w:r w:rsidR="00EC5147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экран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2B7F91" w:rsidRPr="00B67F78" w:rsidRDefault="007E4734" w:rsidP="00B67F78">
      <w:pPr>
        <w:numPr>
          <w:ilvl w:val="0"/>
          <w:numId w:val="21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ноутбуко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 принтер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м,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проектором мультимедиа;</w:t>
      </w:r>
    </w:p>
    <w:p w:rsidR="002B7F91" w:rsidRPr="00B67F78" w:rsidRDefault="007E4734" w:rsidP="00B67F78">
      <w:pPr>
        <w:numPr>
          <w:ilvl w:val="0"/>
          <w:numId w:val="2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позволяет работать с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7"/>
        <w:gridCol w:w="2150"/>
      </w:tblGrid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B2BC3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сад укомплектован на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B7F91" w:rsidRPr="009B713C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7E4734" w:rsidRPr="009B71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9B71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2B7F91" w:rsidRPr="00B67F78" w:rsidRDefault="007E4734" w:rsidP="00B67F78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старшего воспитателя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– 1;</w:t>
      </w:r>
    </w:p>
    <w:p w:rsidR="002B7F91" w:rsidRPr="00B67F78" w:rsidRDefault="007E4734" w:rsidP="00B67F78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2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Детский сад приобрел комплекс «Погодные условия». Также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работы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Детского сада был оборудован мини-музей «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Татарская изба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 групп.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B2BC3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раздевальной зоне младшей группы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оформлена стена «Мы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помним, мы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гордимся» из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семьях воспитанников Детского сада.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оформлении  стенда «Государственные символы». Для оформления стенда были закуплены: флаг, герб, гимн. Сотрудники Детского сада совместно оформили тематический стенд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групповых комнат,  спальных помещений, коридоров. 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Летом 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полностью 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перестроена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игровая, уличная площадка.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 учебном году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введением ФОП ДО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Материально-техническое обеспечение отвечает современным требованиям.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Приобретены: ноутбук, принтеры, </w:t>
      </w:r>
      <w:proofErr w:type="spell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proofErr w:type="spell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проектор,  пополнено программно-методическое обеспечение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 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дидактические пособия. Все материалы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приобретены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9B713C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="007E4734" w:rsidRPr="009B71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Среда:</w:t>
      </w:r>
    </w:p>
    <w:p w:rsidR="002B7F91" w:rsidRPr="00B67F78" w:rsidRDefault="007E4734" w:rsidP="00B67F78">
      <w:pPr>
        <w:numPr>
          <w:ilvl w:val="0"/>
          <w:numId w:val="23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игровых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2B7F91" w:rsidRPr="00B67F78" w:rsidRDefault="007E4734" w:rsidP="00B67F78">
      <w:pPr>
        <w:numPr>
          <w:ilvl w:val="0"/>
          <w:numId w:val="2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подбор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подбор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- и 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аудиоматериалов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демонстрационных технических средств </w:t>
      </w:r>
      <w:proofErr w:type="gramStart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 (1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штука), проектор (2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штуки), ноутбук (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2B7F91" w:rsidRPr="00B67F78" w:rsidRDefault="007E4734" w:rsidP="00B67F78">
      <w:pPr>
        <w:numPr>
          <w:ilvl w:val="0"/>
          <w:numId w:val="24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РППС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символы государства, региона, 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района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4CF6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Совместно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альбом-книга традиций Детского сада. 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2B7F91" w:rsidRPr="00B67F78" w:rsidRDefault="007E4734" w:rsidP="00B67F78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B67F78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B67F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F91" w:rsidRPr="00B67F78" w:rsidRDefault="007E4734" w:rsidP="00B67F78">
      <w:pPr>
        <w:numPr>
          <w:ilvl w:val="0"/>
          <w:numId w:val="25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2B7F91" w:rsidRPr="00B67F78" w:rsidRDefault="007E4734" w:rsidP="00B67F78">
      <w:pPr>
        <w:numPr>
          <w:ilvl w:val="0"/>
          <w:numId w:val="25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2B7F91" w:rsidRPr="00B67F78" w:rsidRDefault="009B713C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 утверждено положение 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показал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хорошую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педагогического коллектива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2B7F91" w:rsidRPr="00B67F78" w:rsidRDefault="00794CF6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 проводится анкетирование 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B7F91" w:rsidRPr="00B67F78" w:rsidRDefault="007E4734" w:rsidP="00B67F78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процент;</w:t>
      </w:r>
    </w:p>
    <w:p w:rsidR="002B7F91" w:rsidRPr="00B67F78" w:rsidRDefault="007E4734" w:rsidP="00B67F78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удовлетворенных компетентностью работников организации,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B7F91" w:rsidRPr="00B67F78" w:rsidRDefault="007E4734" w:rsidP="00B67F78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B7F91" w:rsidRPr="00B67F78" w:rsidRDefault="007E4734" w:rsidP="00B67F78">
      <w:pPr>
        <w:numPr>
          <w:ilvl w:val="0"/>
          <w:numId w:val="26"/>
        </w:numPr>
        <w:spacing w:before="0" w:beforeAutospacing="0" w:after="0" w:afterAutospacing="0" w:line="276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B7F91" w:rsidRPr="00B67F78" w:rsidRDefault="007E4734" w:rsidP="00B67F78">
      <w:pPr>
        <w:numPr>
          <w:ilvl w:val="0"/>
          <w:numId w:val="26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574FF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Анкетирование родителей показало  степень удовлетворенности качеством предоставляемых услуг.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7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91" w:rsidRPr="00B67F78" w:rsidRDefault="0065387F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выстроена  система методического контроля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B7F91" w:rsidRPr="00B67F78" w:rsidRDefault="007E4734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9"/>
        <w:gridCol w:w="1824"/>
        <w:gridCol w:w="1433"/>
      </w:tblGrid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B7F91" w:rsidRPr="00B67F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B7F91" w:rsidRPr="00B67F78" w:rsidTr="009B713C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9B713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6B24C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6B24C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трех 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5A03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1400C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D7398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D7398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(100%)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D7398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C5C4D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C5C4D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D7398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D7398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категория:</w:t>
            </w:r>
            <w:r w:rsidR="00FC5C4D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соответствие занимаемой должности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C5C4D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5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04EE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04EE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proofErr w:type="gramStart"/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04EE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30 и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55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F04EE6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работников, которые за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50FC9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(</w:t>
            </w:r>
            <w:r w:rsidR="00EC5147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работников, которые прошли повышение квалификации по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EC5147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F1813"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3366D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F1813"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1813"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F91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0054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0054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B7F91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2B7F91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00544B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B7F91" w:rsidRPr="00B67F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F91" w:rsidRPr="00B67F78" w:rsidRDefault="007E4734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62385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62385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433,49</w:t>
            </w:r>
          </w:p>
        </w:tc>
      </w:tr>
      <w:tr w:rsidR="00662385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385" w:rsidRPr="00B67F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2385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2385" w:rsidRPr="00B67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385" w:rsidRPr="00B67F78" w:rsidRDefault="00662385" w:rsidP="00B67F7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B7F91" w:rsidRPr="00B67F78" w:rsidRDefault="0000544B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7F91" w:rsidRPr="00B67F78" w:rsidRDefault="0000544B" w:rsidP="00B67F78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квалификацию и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4734" w:rsidRPr="00B67F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B7F91" w:rsidRPr="00B67F78" w:rsidSect="007D09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F1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D4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4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14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B3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21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F6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D7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33AF4"/>
    <w:multiLevelType w:val="multilevel"/>
    <w:tmpl w:val="B4C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D6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E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D15AA"/>
    <w:multiLevelType w:val="multilevel"/>
    <w:tmpl w:val="AC9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B7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74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105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F7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40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A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B7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00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A54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41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3F7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6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60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17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25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0"/>
  </w:num>
  <w:num w:numId="5">
    <w:abstractNumId w:val="0"/>
  </w:num>
  <w:num w:numId="6">
    <w:abstractNumId w:val="27"/>
  </w:num>
  <w:num w:numId="7">
    <w:abstractNumId w:val="13"/>
  </w:num>
  <w:num w:numId="8">
    <w:abstractNumId w:val="24"/>
  </w:num>
  <w:num w:numId="9">
    <w:abstractNumId w:val="4"/>
  </w:num>
  <w:num w:numId="10">
    <w:abstractNumId w:val="8"/>
  </w:num>
  <w:num w:numId="11">
    <w:abstractNumId w:val="22"/>
  </w:num>
  <w:num w:numId="12">
    <w:abstractNumId w:val="6"/>
  </w:num>
  <w:num w:numId="13">
    <w:abstractNumId w:val="23"/>
  </w:num>
  <w:num w:numId="14">
    <w:abstractNumId w:val="25"/>
  </w:num>
  <w:num w:numId="15">
    <w:abstractNumId w:val="16"/>
  </w:num>
  <w:num w:numId="16">
    <w:abstractNumId w:val="11"/>
  </w:num>
  <w:num w:numId="17">
    <w:abstractNumId w:val="21"/>
  </w:num>
  <w:num w:numId="18">
    <w:abstractNumId w:val="26"/>
  </w:num>
  <w:num w:numId="19">
    <w:abstractNumId w:val="1"/>
  </w:num>
  <w:num w:numId="20">
    <w:abstractNumId w:val="18"/>
  </w:num>
  <w:num w:numId="21">
    <w:abstractNumId w:val="19"/>
  </w:num>
  <w:num w:numId="22">
    <w:abstractNumId w:val="14"/>
  </w:num>
  <w:num w:numId="23">
    <w:abstractNumId w:val="5"/>
  </w:num>
  <w:num w:numId="24">
    <w:abstractNumId w:val="2"/>
  </w:num>
  <w:num w:numId="25">
    <w:abstractNumId w:val="15"/>
  </w:num>
  <w:num w:numId="26">
    <w:abstractNumId w:val="3"/>
  </w:num>
  <w:num w:numId="27">
    <w:abstractNumId w:val="1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44B"/>
    <w:rsid w:val="0006173D"/>
    <w:rsid w:val="000A6941"/>
    <w:rsid w:val="000B79D5"/>
    <w:rsid w:val="000F1813"/>
    <w:rsid w:val="001016E1"/>
    <w:rsid w:val="00126213"/>
    <w:rsid w:val="001400C4"/>
    <w:rsid w:val="00155F8F"/>
    <w:rsid w:val="00183926"/>
    <w:rsid w:val="00192F75"/>
    <w:rsid w:val="001C13D8"/>
    <w:rsid w:val="001E4261"/>
    <w:rsid w:val="001F4875"/>
    <w:rsid w:val="001F5276"/>
    <w:rsid w:val="001F5631"/>
    <w:rsid w:val="00250FC9"/>
    <w:rsid w:val="00251EB1"/>
    <w:rsid w:val="002B4779"/>
    <w:rsid w:val="002B7F91"/>
    <w:rsid w:val="002D33B1"/>
    <w:rsid w:val="002D3591"/>
    <w:rsid w:val="002D3813"/>
    <w:rsid w:val="002F597C"/>
    <w:rsid w:val="00305759"/>
    <w:rsid w:val="00334197"/>
    <w:rsid w:val="003346D3"/>
    <w:rsid w:val="00341B3E"/>
    <w:rsid w:val="003514A0"/>
    <w:rsid w:val="0035487D"/>
    <w:rsid w:val="00363611"/>
    <w:rsid w:val="00384A83"/>
    <w:rsid w:val="004378C9"/>
    <w:rsid w:val="0048436B"/>
    <w:rsid w:val="00487D2B"/>
    <w:rsid w:val="004B0FF5"/>
    <w:rsid w:val="004B1F79"/>
    <w:rsid w:val="004C1FEF"/>
    <w:rsid w:val="004F1941"/>
    <w:rsid w:val="004F7E17"/>
    <w:rsid w:val="00515503"/>
    <w:rsid w:val="00533B7B"/>
    <w:rsid w:val="00556540"/>
    <w:rsid w:val="005A0334"/>
    <w:rsid w:val="005A05CE"/>
    <w:rsid w:val="0063735E"/>
    <w:rsid w:val="0065387F"/>
    <w:rsid w:val="00653AF6"/>
    <w:rsid w:val="00662385"/>
    <w:rsid w:val="006B24CB"/>
    <w:rsid w:val="006B33A2"/>
    <w:rsid w:val="006B5DAE"/>
    <w:rsid w:val="006C4250"/>
    <w:rsid w:val="006D3E4F"/>
    <w:rsid w:val="00734F55"/>
    <w:rsid w:val="0076184B"/>
    <w:rsid w:val="00794CF6"/>
    <w:rsid w:val="007B2BC3"/>
    <w:rsid w:val="007C6BB0"/>
    <w:rsid w:val="007D0907"/>
    <w:rsid w:val="007E4734"/>
    <w:rsid w:val="00817229"/>
    <w:rsid w:val="00837E01"/>
    <w:rsid w:val="00855EDF"/>
    <w:rsid w:val="0087006C"/>
    <w:rsid w:val="008A3BA3"/>
    <w:rsid w:val="008E6251"/>
    <w:rsid w:val="009330F6"/>
    <w:rsid w:val="00990E67"/>
    <w:rsid w:val="009B713C"/>
    <w:rsid w:val="00A077CB"/>
    <w:rsid w:val="00A173F1"/>
    <w:rsid w:val="00A220B7"/>
    <w:rsid w:val="00A31E8F"/>
    <w:rsid w:val="00A3366D"/>
    <w:rsid w:val="00A41601"/>
    <w:rsid w:val="00A574FF"/>
    <w:rsid w:val="00A916D2"/>
    <w:rsid w:val="00AB4F3A"/>
    <w:rsid w:val="00AC67F9"/>
    <w:rsid w:val="00AD7D96"/>
    <w:rsid w:val="00B13E9B"/>
    <w:rsid w:val="00B147C2"/>
    <w:rsid w:val="00B223F4"/>
    <w:rsid w:val="00B4008C"/>
    <w:rsid w:val="00B4440D"/>
    <w:rsid w:val="00B67F78"/>
    <w:rsid w:val="00B72EB3"/>
    <w:rsid w:val="00B73A5A"/>
    <w:rsid w:val="00BA01A6"/>
    <w:rsid w:val="00BA374D"/>
    <w:rsid w:val="00BB531B"/>
    <w:rsid w:val="00C51408"/>
    <w:rsid w:val="00C530B2"/>
    <w:rsid w:val="00C80025"/>
    <w:rsid w:val="00CB607E"/>
    <w:rsid w:val="00D02306"/>
    <w:rsid w:val="00D71791"/>
    <w:rsid w:val="00D7398B"/>
    <w:rsid w:val="00E32FC2"/>
    <w:rsid w:val="00E438A1"/>
    <w:rsid w:val="00E469B2"/>
    <w:rsid w:val="00EB34CC"/>
    <w:rsid w:val="00EC5147"/>
    <w:rsid w:val="00ED7A1E"/>
    <w:rsid w:val="00EE2BD1"/>
    <w:rsid w:val="00EF4AC1"/>
    <w:rsid w:val="00EF76FF"/>
    <w:rsid w:val="00F01E19"/>
    <w:rsid w:val="00F04EE6"/>
    <w:rsid w:val="00F60CB6"/>
    <w:rsid w:val="00F92D8F"/>
    <w:rsid w:val="00FB5B2C"/>
    <w:rsid w:val="00FC5C4D"/>
    <w:rsid w:val="00FD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1">
    <w:name w:val="ff1"/>
    <w:basedOn w:val="a0"/>
    <w:rsid w:val="00B223F4"/>
  </w:style>
  <w:style w:type="character" w:customStyle="1" w:styleId="fill">
    <w:name w:val="fill"/>
    <w:basedOn w:val="a0"/>
    <w:rsid w:val="007E4734"/>
  </w:style>
  <w:style w:type="paragraph" w:styleId="a3">
    <w:name w:val="Balloon Text"/>
    <w:basedOn w:val="a"/>
    <w:link w:val="a4"/>
    <w:uiPriority w:val="99"/>
    <w:semiHidden/>
    <w:unhideWhenUsed/>
    <w:rsid w:val="003341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apaevo-edu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31 год и до 50</c:v>
                </c:pt>
                <c:pt idx="2">
                  <c:v>50 лет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44-414B-8802-BECFCB425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31 год и до 50</c:v>
                </c:pt>
                <c:pt idx="2">
                  <c:v>50 лет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44-414B-8802-BECFCB4257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31 год и до 50</c:v>
                </c:pt>
                <c:pt idx="2">
                  <c:v>50 лет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44-414B-8802-BECFCB4257B4}"/>
            </c:ext>
          </c:extLst>
        </c:ser>
        <c:gapWidth val="219"/>
        <c:overlap val="-27"/>
        <c:axId val="113960832"/>
        <c:axId val="113962368"/>
      </c:barChart>
      <c:catAx>
        <c:axId val="113960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62368"/>
        <c:crosses val="autoZero"/>
        <c:auto val="1"/>
        <c:lblAlgn val="ctr"/>
        <c:lblOffset val="100"/>
      </c:catAx>
      <c:valAx>
        <c:axId val="113962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6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6 до 10 лет</c:v>
                </c:pt>
                <c:pt idx="2">
                  <c:v>11 лет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0D-48CA-83AA-193C0FF39B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6 до 10 лет</c:v>
                </c:pt>
                <c:pt idx="2">
                  <c:v>11 лет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0D-48CA-83AA-193C0FF39B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6 до 10 лет</c:v>
                </c:pt>
                <c:pt idx="2">
                  <c:v>11 лет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0D-48CA-83AA-193C0FF39B56}"/>
            </c:ext>
          </c:extLst>
        </c:ser>
        <c:gapWidth val="219"/>
        <c:overlap val="-27"/>
        <c:axId val="13670656"/>
        <c:axId val="13692928"/>
      </c:barChart>
      <c:catAx>
        <c:axId val="13670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92928"/>
        <c:crosses val="autoZero"/>
        <c:auto val="1"/>
        <c:lblAlgn val="ctr"/>
        <c:lblOffset val="100"/>
      </c:catAx>
      <c:valAx>
        <c:axId val="1369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26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Админ</cp:lastModifiedBy>
  <cp:revision>39</cp:revision>
  <cp:lastPrinted>2025-03-27T04:32:00Z</cp:lastPrinted>
  <dcterms:created xsi:type="dcterms:W3CDTF">2025-03-05T09:40:00Z</dcterms:created>
  <dcterms:modified xsi:type="dcterms:W3CDTF">2025-04-01T03:19:00Z</dcterms:modified>
</cp:coreProperties>
</file>